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B" w:rsidRPr="00802AA3" w:rsidRDefault="00533FCB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B076DB" w:rsidRPr="006A611D" w:rsidRDefault="00533FCB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Coldstream Primary School (5127)</w:t>
      </w:r>
    </w:p>
    <w:p w:rsidR="00B076DB" w:rsidRPr="008766A4" w:rsidRDefault="00533FCB" w:rsidP="00B076DB">
      <w:pPr>
        <w:pStyle w:val="ESIntroParagraph"/>
        <w:ind w:left="-567" w:right="4330"/>
      </w:pPr>
    </w:p>
    <w:p w:rsidR="00B076DB" w:rsidRDefault="00533FCB" w:rsidP="00B076DB">
      <w:pPr>
        <w:pStyle w:val="Heading1"/>
        <w:ind w:left="-567"/>
      </w:pPr>
    </w:p>
    <w:p w:rsidR="00B076DB" w:rsidRDefault="00533FCB" w:rsidP="00B076DB">
      <w:pPr>
        <w:pStyle w:val="ESHeading2"/>
      </w:pPr>
    </w:p>
    <w:p w:rsidR="009251D9" w:rsidRDefault="00533FCB" w:rsidP="00B076DB">
      <w:pPr>
        <w:pStyle w:val="ESHeading2"/>
      </w:pPr>
    </w:p>
    <w:p w:rsidR="009251D9" w:rsidRDefault="00533FCB" w:rsidP="00B076DB">
      <w:pPr>
        <w:pStyle w:val="ESHeading2"/>
      </w:pPr>
    </w:p>
    <w:p w:rsidR="00A06D62" w:rsidRDefault="00533FCB" w:rsidP="00B076DB">
      <w:pPr>
        <w:pStyle w:val="ESHeading2"/>
      </w:pPr>
    </w:p>
    <w:p w:rsidR="00A06D62" w:rsidRDefault="00533FCB" w:rsidP="00B076DB">
      <w:pPr>
        <w:pStyle w:val="ESHeading2"/>
      </w:pPr>
    </w:p>
    <w:p w:rsidR="00A06D62" w:rsidRDefault="00533FCB" w:rsidP="00B076DB">
      <w:pPr>
        <w:pStyle w:val="ESHeading2"/>
      </w:pPr>
    </w:p>
    <w:p w:rsidR="00BA5195" w:rsidRPr="00CB0768" w:rsidRDefault="00533FCB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801006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533FCB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0F" w:rsidRDefault="00533FCB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 xml:space="preserve">Submitted for review by Phillippa Adgemis (School Principal) </w:t>
                            </w:r>
                            <w:r>
                              <w:rPr>
                                <w:noProof/>
                              </w:rPr>
                              <w:t>on 07 December, 2018 at 08:00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Coralee Pratt (Senior Education Improvement Leader) on 07 December, 2018 at 09:22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Kelly Borg (School Council President) on 08 December, 2018 at 10:48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-99.25pt;width:769.6pt;height:89.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" stroked="f">
                <v:textbox>
                  <w:txbxContent>
                    <w:p w:rsidR="00994A0F" w:rsidRDefault="00533FCB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 xml:space="preserve">Submitted for review by Phillippa Adgemis (School Principal) </w:t>
                      </w:r>
                      <w:r>
                        <w:rPr>
                          <w:noProof/>
                        </w:rPr>
                        <w:t>on 07 December, 2018 at 08:00 AM</w:t>
                      </w:r>
                      <w:r>
                        <w:rPr>
                          <w:noProof/>
                        </w:rPr>
                        <w:br/>
                        <w:t>Endorsed by Coralee Pratt (Senior Education Improvement Leader) on 07 December, 2018 at 09:22 AM</w:t>
                      </w:r>
                      <w:r>
                        <w:rPr>
                          <w:noProof/>
                        </w:rPr>
                        <w:br/>
                        <w:t>Endorsed by Kelly Borg (School Council President) on 08 December, 2018 at 10:48 AM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D751E" w:rsidRPr="00802AA3" w:rsidRDefault="00533FCB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C259B6" w:rsidRDefault="00533FCB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Coldstr</w:t>
      </w:r>
      <w:r w:rsidRPr="001D751E">
        <w:rPr>
          <w:noProof/>
          <w:color w:val="595959" w:themeColor="text1" w:themeTint="A6"/>
        </w:rPr>
        <w:t>eam Primary School (5127)</w:t>
      </w:r>
    </w:p>
    <w:p w:rsidR="00BB1C14" w:rsidRDefault="00533FCB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877DEF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533FC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4365C8" w:rsidRDefault="00533FCB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 xml:space="preserve">To develop a community of learners who can negotiate the learning outcomes so that all students and teachers are engaged, challenged and extended to exceed their potential. To develop exemplary citizenship and  </w:t>
            </w:r>
            <w:r>
              <w:rPr>
                <w:sz w:val="20"/>
              </w:rPr>
              <w:t>caring, respectful demeanours where every person is respected and valued.</w:t>
            </w:r>
          </w:p>
        </w:tc>
      </w:tr>
      <w:tr w:rsidR="00877DEF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533FC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 leap into learning by showing teamwork, teamwork and responsibility.</w:t>
            </w:r>
          </w:p>
        </w:tc>
      </w:tr>
      <w:tr w:rsidR="00877DEF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533FC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High number of challenging children (academically, ASD, trauma) with </w:t>
            </w:r>
            <w:r>
              <w:rPr>
                <w:sz w:val="20"/>
              </w:rPr>
              <w:t>stretched human resources for dealing with their needs.</w:t>
            </w:r>
            <w:r>
              <w:rPr>
                <w:sz w:val="20"/>
              </w:rPr>
              <w:br/>
              <w:t>Community expectations have not been high for their children.</w:t>
            </w:r>
            <w:r>
              <w:rPr>
                <w:sz w:val="20"/>
              </w:rPr>
              <w:br/>
              <w:t>Culture in the school of the sportsfield sledging and derision.</w:t>
            </w:r>
            <w:r>
              <w:rPr>
                <w:sz w:val="20"/>
              </w:rPr>
              <w:br/>
              <w:t>Growing awareness of levels of need in the community not well resourced fi</w:t>
            </w:r>
            <w:r>
              <w:rPr>
                <w:sz w:val="20"/>
              </w:rPr>
              <w:t>nancially, socially or emotionally.  More family dysfunction becoming apparent.</w:t>
            </w:r>
            <w:r>
              <w:rPr>
                <w:sz w:val="20"/>
              </w:rPr>
              <w:br/>
            </w:r>
          </w:p>
        </w:tc>
      </w:tr>
      <w:tr w:rsidR="00877DEF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533FC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Create an agreed and viable curriculum.</w:t>
            </w:r>
            <w:r>
              <w:rPr>
                <w:sz w:val="20"/>
              </w:rPr>
              <w:br/>
              <w:t>Embed a whole school reading and writing instructional model that promotes high quality, consistent teachi</w:t>
            </w:r>
            <w:r>
              <w:rPr>
                <w:sz w:val="20"/>
              </w:rPr>
              <w:t>ng and learning in literacy (BPE)</w:t>
            </w:r>
            <w:r>
              <w:rPr>
                <w:sz w:val="20"/>
              </w:rPr>
              <w:br/>
              <w:t>Embed a culture of curriculum planning and assessing the impact of learning programs, adjusting them to suit individual needs (CPA)</w:t>
            </w:r>
            <w:r>
              <w:rPr>
                <w:sz w:val="20"/>
              </w:rPr>
              <w:br/>
              <w:t>Embed a whole school reading and writing instructional model that promotes high quality, c</w:t>
            </w:r>
            <w:r>
              <w:rPr>
                <w:sz w:val="20"/>
              </w:rPr>
              <w:t>onsistent teaching and learning in literacy (BPE)</w:t>
            </w:r>
            <w:r>
              <w:rPr>
                <w:sz w:val="20"/>
              </w:rPr>
              <w:br/>
              <w:t>Embed a culture of curriculum planning and assessing the impact of learning programs, adjusting them to suit individual needs (CPA)</w:t>
            </w:r>
            <w:r>
              <w:rPr>
                <w:sz w:val="20"/>
              </w:rPr>
              <w:br/>
              <w:t>Establish consistency in pedagogical understandings and practices.</w:t>
            </w:r>
            <w:r>
              <w:rPr>
                <w:sz w:val="20"/>
              </w:rPr>
              <w:br/>
              <w:t>Develop</w:t>
            </w:r>
            <w:r>
              <w:rPr>
                <w:sz w:val="20"/>
              </w:rPr>
              <w:t xml:space="preserve"> even greater consistency in wellbeing across the school.</w:t>
            </w:r>
          </w:p>
        </w:tc>
      </w:tr>
    </w:tbl>
    <w:p w:rsidR="00BB1C14" w:rsidRDefault="00533FCB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B13A07" w:rsidRDefault="00533FCB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405DB2" w:rsidRDefault="00533FCB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405DB2" w:rsidRDefault="00533FCB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B13A07" w:rsidRPr="00722E21" w:rsidRDefault="00533FCB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:rsidR="00370AF8" w:rsidRPr="00B13A07" w:rsidRDefault="00533FCB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FA10DB" w:rsidRDefault="00533FCB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2018-2022</w:t>
      </w:r>
    </w:p>
    <w:p w:rsidR="00B076DB" w:rsidRDefault="00533FCB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Coldstream Primary School (5127)</w:t>
      </w:r>
    </w:p>
    <w:p w:rsidR="0038585D" w:rsidRDefault="00533FCB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877DEF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33FC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maximise the achievement and learning growth of every student in </w:t>
            </w:r>
            <w:r>
              <w:rPr>
                <w:sz w:val="20"/>
              </w:rPr>
              <w:t>literacy.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relative growth in NAPLAN 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107"/>
              <w:gridCol w:w="1704"/>
            </w:tblGrid>
            <w:tr w:rsidR="00877DEF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210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1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7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40%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1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30%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Spelling</w:t>
                  </w:r>
                </w:p>
              </w:tc>
              <w:tc>
                <w:tcPr>
                  <w:tcW w:w="210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70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25%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 2 bands of NAPLAN in Year 3   Bottom 2 bands NAPLAN in Year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993"/>
              <w:gridCol w:w="1644"/>
              <w:gridCol w:w="1502"/>
            </w:tblGrid>
            <w:tr w:rsidR="00877DEF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2021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5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5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Spelling</w:t>
                  </w:r>
                </w:p>
              </w:tc>
              <w:tc>
                <w:tcPr>
                  <w:tcW w:w="1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Spelling</w:t>
                  </w:r>
                </w:p>
              </w:tc>
              <w:tc>
                <w:tcPr>
                  <w:tcW w:w="15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SSS to show: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1644"/>
            </w:tblGrid>
            <w:tr w:rsidR="00877DEF">
              <w:tc>
                <w:tcPr>
                  <w:tcW w:w="4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4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Collective focus on Teaching and Learning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&gt;90%</w:t>
                  </w:r>
                </w:p>
              </w:tc>
            </w:tr>
            <w:tr w:rsidR="00877DEF">
              <w:tc>
                <w:tcPr>
                  <w:tcW w:w="4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Collective efficacy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&gt;90%</w:t>
                  </w:r>
                </w:p>
              </w:tc>
            </w:tr>
            <w:tr w:rsidR="00877DEF">
              <w:tc>
                <w:tcPr>
                  <w:tcW w:w="4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Collective responsibility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&gt;90%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Reduced inconsistency between the teacher judgement data and the NAPLAN data from the 2018 data in literacy. </w:t>
            </w:r>
          </w:p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877DEF" w:rsidRDefault="00533FC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document whole school curriculum, including scope and sequence that</w:t>
            </w:r>
            <w:r>
              <w:rPr>
                <w:sz w:val="20"/>
              </w:rPr>
              <w:t xml:space="preserve"> promotes high quality teaching and learning in literacy (CPA)  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877DEF" w:rsidRDefault="00533FCB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a whole school reading and writing instructional model that promotes high quality, consistent teaching and learning in </w:t>
            </w:r>
            <w:r>
              <w:rPr>
                <w:sz w:val="20"/>
              </w:rPr>
              <w:t>literacy (BPE)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877DEF" w:rsidRDefault="00533FC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 culture of curriculum planning and assessing the impact of learning programs, adjusting them to suit individual needs (CPA)</w:t>
            </w:r>
          </w:p>
        </w:tc>
      </w:tr>
      <w:tr w:rsidR="00877DEF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33FC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the achievement and lea</w:t>
            </w:r>
            <w:r>
              <w:rPr>
                <w:sz w:val="20"/>
              </w:rPr>
              <w:t xml:space="preserve">rning growth of every student in numeracy.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relative growth in NAPLAN 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993"/>
              <w:gridCol w:w="1818"/>
            </w:tblGrid>
            <w:tr w:rsidR="00877DEF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81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40%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 2 bands of NAPLAN in Year 3    Bottom 2 bands NAPLAN in Year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993"/>
              <w:gridCol w:w="1644"/>
              <w:gridCol w:w="2346"/>
            </w:tblGrid>
            <w:tr w:rsidR="00877DEF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234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21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9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23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SSS to show: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1644"/>
            </w:tblGrid>
            <w:tr w:rsidR="00877DEF">
              <w:tc>
                <w:tcPr>
                  <w:tcW w:w="4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4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Elements in the PL dimensions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&gt;80%</w:t>
                  </w:r>
                </w:p>
              </w:tc>
            </w:tr>
            <w:tr w:rsidR="00877DEF">
              <w:tc>
                <w:tcPr>
                  <w:tcW w:w="4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Collective efficacy</w:t>
                  </w:r>
                </w:p>
              </w:tc>
              <w:tc>
                <w:tcPr>
                  <w:tcW w:w="16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&gt;90%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Reduced inconsistency between the teacher judgement data and the NAPLAN data from the 2018 data in </w:t>
            </w:r>
            <w:r>
              <w:rPr>
                <w:rFonts w:eastAsia="Arial"/>
                <w:sz w:val="20"/>
                <w:szCs w:val="20"/>
              </w:rPr>
              <w:t>Numeracy.</w:t>
            </w:r>
          </w:p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2.5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Documented curriculum with scope and sequence for each Grade level and subject area.</w:t>
            </w:r>
          </w:p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877DEF" w:rsidRDefault="00533FC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and document whole school curriculum, including scope and sequence that promotes high quality teaching and learning in numeracy (CPA)  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877DEF" w:rsidRDefault="00533FC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the capacity of individual </w:t>
            </w:r>
            <w:r>
              <w:rPr>
                <w:sz w:val="20"/>
              </w:rPr>
              <w:t>teachers and teams to analyse and use assessment data to plan a differentiated teaching and learning program that targets the learning needs of all students (CPA) (EIL)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877DEF" w:rsidRDefault="00533FCB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capacity in staff t</w:t>
            </w:r>
            <w:r>
              <w:rPr>
                <w:sz w:val="20"/>
              </w:rPr>
              <w:t>o lead and implement effective teaching and learning  (BPE)</w:t>
            </w:r>
          </w:p>
        </w:tc>
      </w:tr>
      <w:tr w:rsidR="00877DEF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533FC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increase the active engagement of every student in their learning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AToSS to show: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  <w:gridCol w:w="1051"/>
              <w:gridCol w:w="1527"/>
            </w:tblGrid>
            <w:tr w:rsidR="00877DEF"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AToSS dimension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voice and agency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80%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expectations for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success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90%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Motivation and interest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&gt;80%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Effective teaching practice variables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80%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SSS to show: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  <w:gridCol w:w="1051"/>
              <w:gridCol w:w="1527"/>
            </w:tblGrid>
            <w:tr w:rsidR="00877DEF"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SSS dimension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Trust in students and parents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80%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Academic emphasis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80%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:rsidR="00877DEF" w:rsidRDefault="00533FCB">
            <w:pPr>
              <w:spacing w:before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 to show: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  <w:gridCol w:w="1051"/>
              <w:gridCol w:w="1527"/>
            </w:tblGrid>
            <w:tr w:rsidR="00877DEF">
              <w:tc>
                <w:tcPr>
                  <w:tcW w:w="3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POS Dimension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 target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motivation and support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90%</w:t>
                  </w:r>
                </w:p>
              </w:tc>
            </w:tr>
            <w:tr w:rsidR="00877DEF">
              <w:tc>
                <w:tcPr>
                  <w:tcW w:w="391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Stimulating learning</w:t>
                  </w:r>
                </w:p>
              </w:tc>
              <w:tc>
                <w:tcPr>
                  <w:tcW w:w="10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5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877DEF" w:rsidRDefault="00533FC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 90%</w:t>
                  </w:r>
                </w:p>
              </w:tc>
            </w:tr>
          </w:tbl>
          <w:p w:rsidR="00877DEF" w:rsidRDefault="00877DEF"/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877DEF" w:rsidRDefault="00533FC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Use appropriate evidence to differentiate curriculum so that all students experience challenge, success and improved learning. (ESP)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877DEF" w:rsidRDefault="00533FCB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Use effective feedback strategies to gather info</w:t>
            </w:r>
            <w:r>
              <w:rPr>
                <w:sz w:val="20"/>
              </w:rPr>
              <w:t xml:space="preserve">rmation on students understanding, to assist students to advance their own learning and to verify the impact of their practice. (IES)  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:rsidR="00877DEF" w:rsidRDefault="00533FCB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Set goals in partnership between students </w:t>
            </w:r>
            <w:r>
              <w:rPr>
                <w:sz w:val="20"/>
              </w:rPr>
              <w:t>and teachers to assist students to understand the success criteria, commit to the learning and provide the appropriate mix of success and challenge. (SEI) (HITS1)</w:t>
            </w:r>
          </w:p>
        </w:tc>
      </w:tr>
      <w:tr w:rsidR="00877DEF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533FC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3.d</w:t>
            </w:r>
          </w:p>
          <w:p w:rsidR="00877DEF" w:rsidRDefault="00533FCB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533FC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 culture w</w:t>
            </w:r>
            <w:r>
              <w:rPr>
                <w:sz w:val="20"/>
              </w:rPr>
              <w:t xml:space="preserve">here teachers and students work together and student voice and agency is heard and respected. (SEI) </w:t>
            </w:r>
          </w:p>
        </w:tc>
      </w:tr>
    </w:tbl>
    <w:p w:rsidR="005E684F" w:rsidRPr="00FA10DB" w:rsidRDefault="00533FCB" w:rsidP="005E684F">
      <w:pPr>
        <w:ind w:right="-632"/>
        <w:rPr>
          <w:b/>
          <w:color w:val="AF272F"/>
          <w:sz w:val="36"/>
          <w:szCs w:val="44"/>
        </w:rPr>
      </w:pPr>
    </w:p>
    <w:p w:rsidR="00877DEF" w:rsidRDefault="00877DEF"/>
    <w:p w:rsidR="00877DEF" w:rsidRDefault="00877DEF"/>
    <w:p w:rsidR="00877DEF" w:rsidRDefault="00877DEF"/>
    <w:sectPr w:rsidR="00877DEF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CB" w:rsidRDefault="00533FCB">
      <w:pPr>
        <w:spacing w:after="0" w:line="240" w:lineRule="auto"/>
      </w:pPr>
      <w:r>
        <w:separator/>
      </w:r>
    </w:p>
  </w:endnote>
  <w:endnote w:type="continuationSeparator" w:id="0">
    <w:p w:rsidR="00533FCB" w:rsidRDefault="0053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A0F" w:rsidRDefault="00533FCB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3E29B5" w:rsidRDefault="00533FCB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7839E6" w:rsidRDefault="00533FCB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Coldstream Primary School (5127)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A0F" w:rsidRPr="007B2B29" w:rsidRDefault="00533FCB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30A73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CB" w:rsidRDefault="00533FCB">
      <w:pPr>
        <w:spacing w:after="0" w:line="240" w:lineRule="auto"/>
      </w:pPr>
      <w:r>
        <w:separator/>
      </w:r>
    </w:p>
  </w:footnote>
  <w:footnote w:type="continuationSeparator" w:id="0">
    <w:p w:rsidR="00533FCB" w:rsidRDefault="0053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A0F" w:rsidRDefault="00533F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533FC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" filled="f" stroked="f">
              <o:lock v:ext="edit" shapetype="t"/>
              <v:textbox style="mso-fit-shape-to-text:t">
                <w:txbxContent>
                  <w:p w:rsidR="00994A0F" w:rsidRDefault="00533FCB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533FC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533FC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" filled="f" stroked="f">
              <o:lock v:ext="edit" shapetype="t"/>
              <v:textbox style="mso-fit-shape-to-text:t">
                <w:txbxContent>
                  <w:p w:rsidR="00994A0F" w:rsidRDefault="00533FCB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38BE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4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6E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22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81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C0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83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2C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F8F8FF2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5D8A103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6D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88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2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63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67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2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C5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B0E2718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9D1CCE1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8224656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A8F8A4C0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CE82CB7E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5162ACA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C5C8415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3404DDE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A06253AA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2ACA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0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03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C0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6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EC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6B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D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C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7D742C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828EE490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9BE8918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38ED4D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AAC3440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D1F2CDE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DF624F0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780C96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33F6DE5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AC6E7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E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2E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E0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7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8B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6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C1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45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EF"/>
    <w:rsid w:val="00254E77"/>
    <w:rsid w:val="00330A73"/>
    <w:rsid w:val="00533FCB"/>
    <w:rsid w:val="008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7B849607-1D85-4CE5-87AE-F49A9595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606919-F4AD-41E5-9270-8A14FF6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Adgemis, Phillippa P</cp:lastModifiedBy>
  <cp:revision>2</cp:revision>
  <dcterms:created xsi:type="dcterms:W3CDTF">2019-02-17T20:54:00Z</dcterms:created>
  <dcterms:modified xsi:type="dcterms:W3CDTF">2019-02-17T20:54:00Z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